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5371" w:rsidRPr="00075371" w:rsidRDefault="00B16F4F"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075371" w:rsidRPr="00075371">
        <w:rPr>
          <w:rFonts w:ascii="Times New Roman" w:eastAsia="Times New Roman" w:hAnsi="Times New Roman" w:cs="Times New Roman"/>
          <w:color w:val="000000"/>
          <w:sz w:val="24"/>
          <w:szCs w:val="24"/>
        </w:rPr>
        <w:t xml:space="preserve">Neprofitna organizacija </w:t>
      </w:r>
      <w:r w:rsidR="00F317B6">
        <w:rPr>
          <w:rFonts w:ascii="Times New Roman" w:eastAsia="Times New Roman" w:hAnsi="Times New Roman" w:cs="Times New Roman"/>
          <w:color w:val="000000"/>
          <w:sz w:val="24"/>
          <w:szCs w:val="24"/>
        </w:rPr>
        <w:t>Centar za karijere mladih Dubrovnik</w:t>
      </w:r>
    </w:p>
    <w:p w:rsidR="00075371" w:rsidRPr="00075371" w:rsidRDefault="00075371" w:rsidP="00075371">
      <w:pPr>
        <w:spacing w:before="100" w:beforeAutospacing="1" w:after="100" w:afterAutospacing="1" w:line="240" w:lineRule="auto"/>
        <w:jc w:val="center"/>
        <w:rPr>
          <w:rFonts w:ascii="Times New Roman" w:eastAsia="Times New Roman" w:hAnsi="Times New Roman" w:cs="Times New Roman"/>
          <w:color w:val="000000"/>
          <w:sz w:val="28"/>
          <w:szCs w:val="28"/>
        </w:rPr>
      </w:pPr>
      <w:r w:rsidRPr="00075371">
        <w:rPr>
          <w:rFonts w:ascii="Times New Roman" w:eastAsia="Times New Roman" w:hAnsi="Times New Roman" w:cs="Times New Roman"/>
          <w:color w:val="000000"/>
          <w:sz w:val="28"/>
          <w:szCs w:val="28"/>
        </w:rPr>
        <w:t xml:space="preserve">UPITNIK O FUNKCIONIRANJU SUSTAVA FINANCIJSKOG UPRAVLJANJA I KONTROLA ZA </w:t>
      </w:r>
      <w:r w:rsidR="00DA2DDD">
        <w:rPr>
          <w:rFonts w:ascii="Times New Roman" w:eastAsia="Times New Roman" w:hAnsi="Times New Roman" w:cs="Times New Roman"/>
          <w:color w:val="000000"/>
          <w:sz w:val="28"/>
          <w:szCs w:val="28"/>
        </w:rPr>
        <w:t>20</w:t>
      </w:r>
      <w:r w:rsidR="00B72C6A">
        <w:rPr>
          <w:rFonts w:ascii="Times New Roman" w:eastAsia="Times New Roman" w:hAnsi="Times New Roman" w:cs="Times New Roman"/>
          <w:color w:val="000000"/>
          <w:sz w:val="28"/>
          <w:szCs w:val="28"/>
        </w:rPr>
        <w:t>2</w:t>
      </w:r>
      <w:r w:rsidR="00136510">
        <w:rPr>
          <w:rFonts w:ascii="Times New Roman" w:eastAsia="Times New Roman" w:hAnsi="Times New Roman" w:cs="Times New Roman"/>
          <w:color w:val="000000"/>
          <w:sz w:val="28"/>
          <w:szCs w:val="28"/>
        </w:rPr>
        <w:t>1</w:t>
      </w:r>
      <w:r w:rsidR="00966187">
        <w:rPr>
          <w:rFonts w:ascii="Times New Roman" w:eastAsia="Times New Roman" w:hAnsi="Times New Roman" w:cs="Times New Roman"/>
          <w:color w:val="000000"/>
          <w:sz w:val="28"/>
          <w:szCs w:val="28"/>
        </w:rPr>
        <w:t>.</w:t>
      </w:r>
      <w:r w:rsidRPr="00075371">
        <w:rPr>
          <w:rFonts w:ascii="Times New Roman" w:eastAsia="Times New Roman" w:hAnsi="Times New Roman" w:cs="Times New Roman"/>
          <w:color w:val="000000"/>
          <w:sz w:val="28"/>
          <w:szCs w:val="28"/>
        </w:rPr>
        <w:t xml:space="preserve"> GODINU</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76"/>
        <w:gridCol w:w="5090"/>
        <w:gridCol w:w="524"/>
        <w:gridCol w:w="497"/>
        <w:gridCol w:w="470"/>
        <w:gridCol w:w="1699"/>
      </w:tblGrid>
      <w:tr w:rsidR="00075371" w:rsidRPr="00075371" w:rsidTr="00075371">
        <w:trPr>
          <w:tblCellSpacing w:w="15" w:type="dxa"/>
        </w:trPr>
        <w:tc>
          <w:tcPr>
            <w:tcW w:w="0" w:type="auto"/>
            <w:vMerge w:val="restart"/>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Redni broj</w:t>
            </w:r>
          </w:p>
        </w:tc>
        <w:tc>
          <w:tcPr>
            <w:tcW w:w="0" w:type="auto"/>
            <w:vMerge w:val="restart"/>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Pitanje</w:t>
            </w:r>
          </w:p>
        </w:tc>
        <w:tc>
          <w:tcPr>
            <w:tcW w:w="0" w:type="auto"/>
            <w:gridSpan w:val="4"/>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Odgovor</w:t>
            </w:r>
          </w:p>
        </w:tc>
      </w:tr>
      <w:tr w:rsidR="00075371" w:rsidRPr="00075371" w:rsidTr="00075371">
        <w:trPr>
          <w:tblCellSpacing w:w="15" w:type="dxa"/>
        </w:trPr>
        <w:tc>
          <w:tcPr>
            <w:tcW w:w="0" w:type="auto"/>
            <w:vMerge/>
            <w:tcBorders>
              <w:top w:val="single" w:sz="6" w:space="0" w:color="666666"/>
              <w:left w:val="single" w:sz="6" w:space="0" w:color="666666"/>
              <w:bottom w:val="single" w:sz="6" w:space="0" w:color="666666"/>
              <w:right w:val="single" w:sz="6" w:space="0" w:color="666666"/>
            </w:tcBorders>
            <w:vAlign w:val="center"/>
            <w:hideMark/>
          </w:tcPr>
          <w:p w:rsidR="00075371" w:rsidRPr="00075371" w:rsidRDefault="00075371" w:rsidP="00075371">
            <w:pPr>
              <w:spacing w:after="0" w:line="240" w:lineRule="auto"/>
              <w:rPr>
                <w:rFonts w:ascii="Times New Roman" w:eastAsia="Times New Roman" w:hAnsi="Times New Roman" w:cs="Times New Roman"/>
                <w:color w:val="000000"/>
                <w:sz w:val="24"/>
                <w:szCs w:val="24"/>
              </w:rPr>
            </w:pPr>
          </w:p>
        </w:tc>
        <w:tc>
          <w:tcPr>
            <w:tcW w:w="0" w:type="auto"/>
            <w:vMerge/>
            <w:tcBorders>
              <w:top w:val="single" w:sz="6" w:space="0" w:color="666666"/>
              <w:left w:val="single" w:sz="6" w:space="0" w:color="666666"/>
              <w:bottom w:val="single" w:sz="6" w:space="0" w:color="666666"/>
              <w:right w:val="single" w:sz="6" w:space="0" w:color="666666"/>
            </w:tcBorders>
            <w:vAlign w:val="center"/>
            <w:hideMark/>
          </w:tcPr>
          <w:p w:rsidR="00075371" w:rsidRPr="00075371" w:rsidRDefault="00075371" w:rsidP="00075371">
            <w:pPr>
              <w:spacing w:after="0" w:line="240" w:lineRule="auto"/>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N/P</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DA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NE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center"/>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DJELOMIČNO</w:t>
            </w:r>
          </w:p>
        </w:tc>
      </w:tr>
      <w:tr w:rsidR="00075371" w:rsidRPr="00075371" w:rsidTr="00075371">
        <w:trPr>
          <w:tblCellSpacing w:w="15" w:type="dxa"/>
        </w:trPr>
        <w:tc>
          <w:tcPr>
            <w:tcW w:w="0" w:type="auto"/>
            <w:gridSpan w:val="6"/>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PLANIRANJE</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Godišnji program rada i financijski plan usvojeni su do 31. prosinca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U financijskom planu neprofitne organizacije vidljiv je rezultat poslovanja za koji se očekuje da će ga neprofitna organizacija ostvariti na dan 31. prosinca godine koja prethodi godini za koju se donosi financijski plan</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B16F4F" w:rsidP="00075371">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r>
      <w:tr w:rsidR="00075371" w:rsidRPr="00075371" w:rsidTr="00075371">
        <w:trPr>
          <w:tblCellSpacing w:w="15" w:type="dxa"/>
        </w:trPr>
        <w:tc>
          <w:tcPr>
            <w:tcW w:w="0" w:type="auto"/>
            <w:gridSpan w:val="6"/>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IZVRŠAVANJE I RAČUNOVODSTVO</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Poduzete su sve potrebne mjere za potpunu naplatu prihoda iz aktivnosti neprofitne organizacije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U potpisanim ugovorima s dobavljačima/pružateljima usluga/izvršiteljima radova detaljno je utvrđena vrsta robe/usluga/radova koji se nabavljaju</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Prilikom isporuke opreme/izvođenja radova obavljene su sve potrebne provjere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115826"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5.1.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Oprema je isporučena/Radovi su izvedeni na način utvrđen ugovorom</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115826"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5.2.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Oprema je isporučena/Radovi su izvedeni u skladu s vremenskim rokovima iz ugovora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115826"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5.3.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Oprema je isporučena/Radovi su izvedeni u skladu sa zahtjevima količine i kvalitete iz ugovora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115826"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5.4.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Oprema je isporučena/Radovi su izvedeni na lokacijama koje su navedene u ugovoru</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115826"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5.5.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Oprema je isporučena/Radovi su izvedeni prema opisu iz ugovora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115826"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5.6.</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Oprema je isporučena/Radovi su izvedeni sukladno nacrtima, analizama, modelima, uzorcima iz ugovora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5.7.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Oprema je instalirana i u upotrebi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115826"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6.</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xml:space="preserve">Iz primke, otpremnice i drugog odgovarajućeg dokumenta potpisanog od skladištara ili druge osobe zadužene za zaprimanje robe i dobavljača </w:t>
            </w:r>
            <w:r w:rsidRPr="00075371">
              <w:rPr>
                <w:rFonts w:ascii="Times New Roman" w:eastAsia="Times New Roman" w:hAnsi="Times New Roman" w:cs="Times New Roman"/>
                <w:color w:val="000000"/>
                <w:sz w:val="24"/>
                <w:szCs w:val="24"/>
              </w:rPr>
              <w:lastRenderedPageBreak/>
              <w:t>vidljivo je da je prilikom preuzimanja robe utvrđena količina, stanje i kvaliteta zaprimljene robe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Postoji izvještaj o obavljenoj usluzi odnosno druga vrsta pisanog odobrenja ili dokumentacije kojom se potvrđuje izvršenje usluge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8.</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O izvedenim radovima postoji privremena odnosno konačna obračunska situacija, koju odobrava osoba odnosno tijelo koje nadzire i odobrava radove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Na zaprimljenim računima navedeni su svi elementi računa u skladu sa zakonskim i podzakonskim propisima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10.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Računi sadrže detaljnu specifikaciju roba/usluga/radova koje odgovaraju opisu i specifikaciji roba/usluga/radova definiranih narudžbenicom odnosno ugovorom</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11.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Za svaki račun obavljena je matematička kontrola ispravnosti iznosa koji je zaračunan što je naznačeno na računu</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12.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Provjereno je postojanje potpisa ili druge oznake kojom se može potvrditi da je račun odobren za plaćanje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13.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Sve isplate putem blagajne obavljaju se na temelju odobrenja za isplatu koje daje zakonski zastupnik, odnosno osoba koju on ovlasti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14.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Isplata sredstava temeljila se na vjerodostojnoj dokumentaciji</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15.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Vodi se analitička evidencija dugotrajne, nefinancijske imovine i usklađena je s glavnom knjigom</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16.</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Zakonski zastupnik je donio odluku o osnivanju povjerenstva za popis u kojoj je odredio datum obavljanja popisa, rokove obavljanja popisa i dostavljanje izvještaja s priloženim popisnim listama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17.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Povjerenstvo za popis obavilo je popis cjelokupne imovine i obveza, sastavilo izvještaj temeljem popisnih lista i predalo ga zakonskom zastupniku</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18.</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Isknjižavanje imovine iz poslovnih knjiga provodi se isključivo nakon prodaje, darovanja ili drugog načina otuđenja ili uništenja imovine, a temeljem izlaznog računa, ugovora o kupoprodaji, zapisnika o uništenju, potvrde o odvozu na otpad i slične dokumentacije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lastRenderedPageBreak/>
              <w:t>19.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Uspostavljena je evidencija svih ugovora i organizacijska jedinica, odnosno osoba zadužena za financijsko-računovodstvene poslove ima uvid u sklopljene ugovore iz kojih proizlaze financijski učinci za neprofitnu organizaciju</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 </w:t>
            </w:r>
          </w:p>
        </w:tc>
      </w:tr>
      <w:tr w:rsidR="00075371" w:rsidRPr="00075371" w:rsidTr="00075371">
        <w:trPr>
          <w:tblCellSpacing w:w="15" w:type="dxa"/>
        </w:trPr>
        <w:tc>
          <w:tcPr>
            <w:tcW w:w="0" w:type="auto"/>
            <w:gridSpan w:val="6"/>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PROCEDURE FINANCIJSKOG POSLOVANJA</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20.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404D10"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404D10">
              <w:rPr>
                <w:rFonts w:ascii="Times New Roman" w:eastAsia="Times New Roman" w:hAnsi="Times New Roman" w:cs="Times New Roman"/>
                <w:color w:val="000000"/>
                <w:sz w:val="24"/>
                <w:szCs w:val="24"/>
              </w:rPr>
              <w:t>Propisana je procedura za nabavu roba, radova i usluga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21.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404D10"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404D10">
              <w:rPr>
                <w:rFonts w:ascii="Times New Roman" w:eastAsia="Times New Roman" w:hAnsi="Times New Roman" w:cs="Times New Roman"/>
                <w:color w:val="000000"/>
                <w:sz w:val="24"/>
                <w:szCs w:val="24"/>
              </w:rPr>
              <w:t>Postoji pisana procedura u kojoj su utvrđeni svi postupci, odgovorne osobe i kontrole koje je potrebno provesti od zaprimanja robe/izvođenja radova/izvršenja usluga, zaprimanja računa do plaćanja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22.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404D10"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404D10">
              <w:rPr>
                <w:rFonts w:ascii="Times New Roman" w:eastAsia="Times New Roman" w:hAnsi="Times New Roman" w:cs="Times New Roman"/>
                <w:color w:val="000000"/>
                <w:sz w:val="24"/>
                <w:szCs w:val="24"/>
              </w:rPr>
              <w:t>Internim aktima su utvrđeni kriteriji za plaćanje predujmom</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23.</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404D10"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404D10">
              <w:rPr>
                <w:rFonts w:ascii="Times New Roman" w:eastAsia="Times New Roman" w:hAnsi="Times New Roman" w:cs="Times New Roman"/>
                <w:color w:val="000000"/>
                <w:sz w:val="24"/>
                <w:szCs w:val="24"/>
              </w:rPr>
              <w:t>Postoji posebna pisana odluka o prijenosu ovlasti i odgovornosti za davanje naloga za plaćanje na osobe različite od zakonskog zastupnika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24.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Preuzimanje višegodišnjih ugovornih obveza koje imaju financijski učinak utvrđeno je statutom ili drugim općim aktom</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25.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Ako se raspoloživa novčana sredstva koriste za ulaganje u vrijednosne papire i druge oblike financijske imovine, statutom ili drugim općim aktima predviđeno je takvo postupanje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26.</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Statutom ili drugim općim aktima su zakonskom zastupniku utvrđena ograničenja za raspolaganja imovinom</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gridSpan w:val="6"/>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IZVJEŠTAVANJE</w:t>
            </w: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27.</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Promjene podataka iz Registra neprofitnih organizacija prijavljene su Ministarstvu financija u roku od sedam radnih dana od upisa promjene u matični registar, odnosno u roku od 30 radnih dana ako se promjena ne upisuje u matični registar</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before="100" w:beforeAutospacing="1" w:after="100" w:afterAutospacing="1"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28.</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Aktivnosti programa i projekata financiranih iz javnih izvora provode se u skladu s ugovornim obvezama, a o provedbi se izvještavaju davatelji sredstava u skladu s ugovorima i važećim aktima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29.</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Za sredstva ostvarena iz javnih izvora, uključujući i sredstva državnog proračuna i proračuna jedinica lokalne i područne (regionalne) samouprave, davatelju sredstava dostavljen je izvještaj o potrošnji proračunskih sredstava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lastRenderedPageBreak/>
              <w:t>30.</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Kod predaje financijskih izvještaja poštivali su se rokovi i način predaje utvrđeni Zakonom o financijskom poslovanju i računovodstvu neprofitnih organizacija i na temelju njega donesenim propisima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31.</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U</w:t>
            </w:r>
            <w:bookmarkStart w:id="0" w:name="_GoBack"/>
            <w:bookmarkEnd w:id="0"/>
            <w:r w:rsidRPr="00075371">
              <w:rPr>
                <w:rFonts w:ascii="Times New Roman" w:eastAsia="Times New Roman" w:hAnsi="Times New Roman" w:cs="Times New Roman"/>
                <w:color w:val="000000"/>
                <w:sz w:val="24"/>
                <w:szCs w:val="24"/>
              </w:rPr>
              <w:t xml:space="preserve"> financijskim izvještajima, uz rezultat tekućeg razdoblja, iskazan je i preneseni rezultat poslovanja (manjak/višak) iz prethodne godine</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32.</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Na financijskim izvještajima neprofitne organizacije obavljen je revizijski uvid, odnosno revizija koja se obavlja sukladno revizijskim propisima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33.</w:t>
            </w:r>
          </w:p>
          <w:p w:rsidR="00966187" w:rsidRPr="00075371" w:rsidRDefault="00966187"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Do 30. lipnja tekuće godine na mrežnim stranicama neprofitne organizacije objavljeno je revizorsko izvješće o obavljenoj reviziji godišnjih financijskih izvještaja, odnosno o uvidu u financijske izvještaje za prethodnu godinu (sindikati i udruge poslodavaca su navedene dokumente, do 30. lipnja tekuće godine, dostavili Ministarstvu financija)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B16F4F"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34.</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Pratilo se i kontroliralo namjensko korištenje donacija koje neprofitne organizacije daju drugim neprofitnim organizacijama i drugim krajnjim korisnicima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B16F4F"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r w:rsidR="00075371" w:rsidRPr="00075371" w:rsidTr="00075371">
        <w:trPr>
          <w:tblCellSpacing w:w="15" w:type="dxa"/>
        </w:trPr>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35.</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Programski i projektni izvještaji te ostala popratna dokumentacija je arhivirana na način i u razdoblju propisanim ugovorom o dodjeli financijskih /nefinancijskih sredstava</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966187" w:rsidP="00650FE7">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x</w:t>
            </w: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650FE7">
            <w:pPr>
              <w:spacing w:after="0" w:line="240" w:lineRule="auto"/>
              <w:jc w:val="center"/>
              <w:rPr>
                <w:rFonts w:ascii="Times New Roman" w:eastAsia="Times New Roman" w:hAnsi="Times New Roman" w:cs="Times New Roman"/>
                <w:color w:val="000000"/>
                <w:sz w:val="24"/>
                <w:szCs w:val="24"/>
              </w:rPr>
            </w:pPr>
          </w:p>
        </w:tc>
        <w:tc>
          <w:tcPr>
            <w:tcW w:w="0" w:type="auto"/>
            <w:tcBorders>
              <w:top w:val="single" w:sz="6" w:space="0" w:color="666666"/>
              <w:left w:val="single" w:sz="6" w:space="0" w:color="666666"/>
              <w:bottom w:val="single" w:sz="6" w:space="0" w:color="666666"/>
              <w:right w:val="single" w:sz="6" w:space="0" w:color="666666"/>
            </w:tcBorders>
            <w:tcMar>
              <w:top w:w="45" w:type="dxa"/>
              <w:left w:w="45" w:type="dxa"/>
              <w:bottom w:w="45" w:type="dxa"/>
              <w:right w:w="45" w:type="dxa"/>
            </w:tcMar>
            <w:vAlign w:val="center"/>
            <w:hideMark/>
          </w:tcPr>
          <w:p w:rsidR="00075371" w:rsidRPr="00075371" w:rsidRDefault="00075371" w:rsidP="00075371">
            <w:pPr>
              <w:spacing w:after="0" w:line="240" w:lineRule="auto"/>
              <w:jc w:val="both"/>
              <w:rPr>
                <w:rFonts w:ascii="Times New Roman" w:eastAsia="Times New Roman" w:hAnsi="Times New Roman" w:cs="Times New Roman"/>
                <w:color w:val="000000"/>
                <w:sz w:val="24"/>
                <w:szCs w:val="24"/>
              </w:rPr>
            </w:pPr>
          </w:p>
        </w:tc>
      </w:tr>
    </w:tbl>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i/>
          <w:iCs/>
          <w:color w:val="000000"/>
          <w:sz w:val="24"/>
          <w:szCs w:val="24"/>
        </w:rPr>
        <w:t>Napomena:</w:t>
      </w:r>
    </w:p>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Sva pitanja u Upitniku moraju biti odgovorena upisivanjem oznake »X« u odgovarajući stupac.</w:t>
      </w:r>
    </w:p>
    <w:p w:rsidR="00075371" w:rsidRPr="00075371" w:rsidRDefault="00075371" w:rsidP="00075371">
      <w:pPr>
        <w:spacing w:before="100" w:beforeAutospacing="1" w:after="100" w:afterAutospacing="1" w:line="240" w:lineRule="auto"/>
        <w:jc w:val="both"/>
        <w:rPr>
          <w:rFonts w:ascii="Times New Roman" w:eastAsia="Times New Roman" w:hAnsi="Times New Roman" w:cs="Times New Roman"/>
          <w:color w:val="000000"/>
          <w:sz w:val="24"/>
          <w:szCs w:val="24"/>
        </w:rPr>
      </w:pPr>
      <w:r w:rsidRPr="00075371">
        <w:rPr>
          <w:rFonts w:ascii="Times New Roman" w:eastAsia="Times New Roman" w:hAnsi="Times New Roman" w:cs="Times New Roman"/>
          <w:color w:val="000000"/>
          <w:sz w:val="24"/>
          <w:szCs w:val="24"/>
        </w:rPr>
        <w:t>Ako pitanje nije primjenjivo na obveznika oznaka »X« stavlja se u stupac N/P.</w:t>
      </w:r>
    </w:p>
    <w:p w:rsidR="002D649B" w:rsidRDefault="002D649B" w:rsidP="005A2864"/>
    <w:sectPr w:rsidR="002D649B" w:rsidSect="002D64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C31DE5"/>
    <w:multiLevelType w:val="hybridMultilevel"/>
    <w:tmpl w:val="1A128870"/>
    <w:lvl w:ilvl="0" w:tplc="C6040848">
      <w:start w:val="33"/>
      <w:numFmt w:val="bullet"/>
      <w:lvlText w:val=""/>
      <w:lvlJc w:val="left"/>
      <w:pPr>
        <w:ind w:left="720" w:hanging="360"/>
      </w:pPr>
      <w:rPr>
        <w:rFonts w:ascii="Symbol" w:eastAsiaTheme="minorEastAsia"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76090BDA"/>
    <w:multiLevelType w:val="hybridMultilevel"/>
    <w:tmpl w:val="1AA0C34A"/>
    <w:lvl w:ilvl="0" w:tplc="4C68C63A">
      <w:start w:val="33"/>
      <w:numFmt w:val="bullet"/>
      <w:lvlText w:val=""/>
      <w:lvlJc w:val="left"/>
      <w:pPr>
        <w:ind w:left="720" w:hanging="360"/>
      </w:pPr>
      <w:rPr>
        <w:rFonts w:ascii="Symbol" w:eastAsiaTheme="minorEastAsia"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371"/>
    <w:rsid w:val="00075371"/>
    <w:rsid w:val="00115826"/>
    <w:rsid w:val="00136510"/>
    <w:rsid w:val="002D649B"/>
    <w:rsid w:val="002F464A"/>
    <w:rsid w:val="0033645E"/>
    <w:rsid w:val="00404D10"/>
    <w:rsid w:val="005A2864"/>
    <w:rsid w:val="00650FE7"/>
    <w:rsid w:val="00950D18"/>
    <w:rsid w:val="00966187"/>
    <w:rsid w:val="00A350BA"/>
    <w:rsid w:val="00AB005B"/>
    <w:rsid w:val="00B16F4F"/>
    <w:rsid w:val="00B72C6A"/>
    <w:rsid w:val="00DA2DDD"/>
    <w:rsid w:val="00DA56C4"/>
    <w:rsid w:val="00F317B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61944"/>
  <w15:docId w15:val="{5F9BA272-E6CF-4BA8-89B8-D998EDAFF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9-8-bez-uvl">
    <w:name w:val="t-9-8-bez-uvl"/>
    <w:basedOn w:val="Normal"/>
    <w:rsid w:val="0007537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11-9-sred">
    <w:name w:val="t-11-9-sred"/>
    <w:basedOn w:val="Normal"/>
    <w:rsid w:val="000753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075371"/>
  </w:style>
  <w:style w:type="paragraph" w:styleId="ListParagraph">
    <w:name w:val="List Paragraph"/>
    <w:basedOn w:val="Normal"/>
    <w:uiPriority w:val="34"/>
    <w:qFormat/>
    <w:rsid w:val="00966187"/>
    <w:pPr>
      <w:ind w:left="720"/>
      <w:contextualSpacing/>
    </w:pPr>
  </w:style>
  <w:style w:type="character" w:styleId="Hyperlink">
    <w:name w:val="Hyperlink"/>
    <w:basedOn w:val="DefaultParagraphFont"/>
    <w:uiPriority w:val="99"/>
    <w:unhideWhenUsed/>
    <w:rsid w:val="00966187"/>
    <w:rPr>
      <w:color w:val="0000FF" w:themeColor="hyperlink"/>
      <w:u w:val="single"/>
    </w:rPr>
  </w:style>
  <w:style w:type="paragraph" w:styleId="BalloonText">
    <w:name w:val="Balloon Text"/>
    <w:basedOn w:val="Normal"/>
    <w:link w:val="BalloonTextChar"/>
    <w:uiPriority w:val="99"/>
    <w:semiHidden/>
    <w:unhideWhenUsed/>
    <w:rsid w:val="00650F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0F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854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1015</Words>
  <Characters>5790</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Hewlett-Packard Company</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Manda</dc:creator>
  <cp:lastModifiedBy>Korisnik</cp:lastModifiedBy>
  <cp:revision>8</cp:revision>
  <cp:lastPrinted>2022-11-11T08:20:00Z</cp:lastPrinted>
  <dcterms:created xsi:type="dcterms:W3CDTF">2021-11-17T08:31:00Z</dcterms:created>
  <dcterms:modified xsi:type="dcterms:W3CDTF">2022-11-11T08:22:00Z</dcterms:modified>
</cp:coreProperties>
</file>